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16B50D4F" w14:textId="77777777" w:rsidR="00013AA7" w:rsidRPr="00993FD0" w:rsidRDefault="00013AA7" w:rsidP="00013AA7">
            <w:pPr>
              <w:pStyle w:val="Sansinterligne"/>
              <w:jc w:val="center"/>
              <w:rPr>
                <w:rFonts w:ascii="Open Sans" w:hAnsi="Open Sans" w:cs="Open Sans"/>
                <w:b/>
                <w:caps/>
                <w:sz w:val="24"/>
                <w:u w:val="single"/>
                <w:lang w:val="en-US"/>
              </w:rPr>
            </w:pPr>
          </w:p>
          <w:p w14:paraId="3ACC4A72" w14:textId="77777777" w:rsidR="00013AA7" w:rsidRPr="00993FD0" w:rsidRDefault="00013AA7" w:rsidP="00013AA7">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4A50BA79" w14:textId="77777777" w:rsidR="00013AA7" w:rsidRPr="00993FD0" w:rsidRDefault="00013AA7" w:rsidP="00013AA7">
            <w:pPr>
              <w:pStyle w:val="Sansinterligne"/>
              <w:jc w:val="center"/>
              <w:rPr>
                <w:rFonts w:ascii="Open Sans" w:hAnsi="Open Sans" w:cs="Open Sans"/>
                <w:b/>
                <w:caps/>
                <w:sz w:val="24"/>
                <w:u w:val="single"/>
                <w:lang w:val="en-US"/>
              </w:rPr>
            </w:pPr>
          </w:p>
          <w:p w14:paraId="160EA39A" w14:textId="05C17392" w:rsidR="00013AA7" w:rsidRDefault="00013AA7" w:rsidP="00013AA7">
            <w:pPr>
              <w:pStyle w:val="Sansinterligne"/>
              <w:jc w:val="center"/>
              <w:rPr>
                <w:rFonts w:ascii="Open Sans" w:hAnsi="Open Sans" w:cs="Open Sans"/>
                <w:b/>
                <w:caps/>
                <w:sz w:val="28"/>
              </w:rPr>
            </w:pPr>
            <w:r>
              <w:rPr>
                <w:rFonts w:ascii="Open Sans" w:hAnsi="Open Sans" w:cs="Open Sans"/>
                <w:b/>
                <w:caps/>
                <w:sz w:val="28"/>
                <w:lang w:val="en-US"/>
              </w:rPr>
              <w:t xml:space="preserve">TOLES ATELIERS 3S horizontales GAMME </w:t>
            </w:r>
            <w:r w:rsidR="007562DC">
              <w:rPr>
                <w:rFonts w:ascii="Open Sans" w:hAnsi="Open Sans" w:cs="Open Sans"/>
                <w:b/>
                <w:caps/>
                <w:sz w:val="28"/>
                <w:lang w:val="en-US"/>
              </w:rPr>
              <w:t>TENDA</w:t>
            </w:r>
          </w:p>
          <w:p w14:paraId="4AA71726" w14:textId="7FD9F506" w:rsidR="00013AA7" w:rsidRDefault="00013AA7" w:rsidP="00013AA7">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verticale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19838CD5"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66BE868B" w14:textId="0E6932A4" w:rsidR="00417FF6" w:rsidRPr="00597B94" w:rsidRDefault="00417FF6" w:rsidP="00417FF6">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7562DC">
        <w:rPr>
          <w:rFonts w:ascii="Open Sans" w:hAnsi="Open Sans" w:cs="Open Sans"/>
          <w:sz w:val="20"/>
          <w:szCs w:val="20"/>
        </w:rPr>
        <w:t>TENDA</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363C610E"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56438C4" w14:textId="3CC3ABFA" w:rsidR="00417FF6" w:rsidRPr="001F29B3" w:rsidRDefault="00417FF6" w:rsidP="00417FF6">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Pr>
          <w:rFonts w:ascii="Open Sans" w:eastAsia="Calibri" w:hAnsi="Open Sans" w:cs="Open Sans"/>
          <w:sz w:val="20"/>
          <w:szCs w:val="20"/>
        </w:rPr>
        <w:t>verticale</w:t>
      </w:r>
      <w:r w:rsidRPr="001F29B3">
        <w:rPr>
          <w:rFonts w:ascii="Open Sans" w:eastAsia="Calibri" w:hAnsi="Open Sans" w:cs="Open Sans"/>
          <w:sz w:val="20"/>
          <w:szCs w:val="20"/>
        </w:rPr>
        <w:t xml:space="preserve"> du parement métallique de façade </w:t>
      </w:r>
      <w:r w:rsidR="00013AA7">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w:t>
      </w:r>
      <w:r w:rsidR="007562DC">
        <w:rPr>
          <w:rFonts w:ascii="Open Sans" w:eastAsia="Calibri" w:hAnsi="Open Sans" w:cs="Open Sans"/>
          <w:sz w:val="20"/>
          <w:szCs w:val="20"/>
        </w:rPr>
        <w:t>TENDA</w:t>
      </w:r>
      <w:r w:rsidRPr="001F29B3">
        <w:rPr>
          <w:rFonts w:ascii="Open Sans" w:eastAsia="Calibri" w:hAnsi="Open Sans" w:cs="Open Sans"/>
          <w:sz w:val="20"/>
          <w:szCs w:val="20"/>
        </w:rPr>
        <w:t>, la façade est composée :</w:t>
      </w:r>
    </w:p>
    <w:p w14:paraId="30E29983" w14:textId="6DE44F7C" w:rsidR="00417FF6" w:rsidRDefault="00417FF6" w:rsidP="00417FF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0027F60F" w14:textId="69ACADCF" w:rsidR="00417FF6" w:rsidRDefault="00417FF6" w:rsidP="00417FF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18174B29" w14:textId="7179DD3F" w:rsidR="00417FF6" w:rsidRPr="001F29B3" w:rsidRDefault="00417FF6" w:rsidP="00417FF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013AA7">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7562DC">
        <w:rPr>
          <w:rFonts w:ascii="Open Sans" w:eastAsia="Calibri" w:hAnsi="Open Sans" w:cs="Open Sans"/>
          <w:sz w:val="20"/>
          <w:szCs w:val="20"/>
        </w:rPr>
        <w:t>TENDA</w:t>
      </w:r>
      <w:r w:rsidRPr="001F29B3">
        <w:rPr>
          <w:rFonts w:ascii="Open Sans" w:eastAsia="Calibri" w:hAnsi="Open Sans" w:cs="Open Sans"/>
          <w:sz w:val="20"/>
          <w:szCs w:val="20"/>
        </w:rPr>
        <w:t>.</w:t>
      </w:r>
    </w:p>
    <w:p w14:paraId="50AB0FBA" w14:textId="0BFDC09F"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horizontale du parement métallique de façade </w:t>
      </w:r>
      <w:r w:rsidR="00013AA7">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7562DC">
        <w:rPr>
          <w:rFonts w:ascii="Open Sans" w:eastAsia="Calibri" w:hAnsi="Open Sans" w:cs="Open Sans"/>
          <w:sz w:val="20"/>
          <w:szCs w:val="20"/>
        </w:rPr>
        <w:t>TENDA</w:t>
      </w:r>
      <w:r>
        <w:rPr>
          <w:rFonts w:ascii="Open Sans" w:eastAsia="Calibri" w:hAnsi="Open Sans" w:cs="Open Sans"/>
          <w:sz w:val="20"/>
          <w:szCs w:val="20"/>
        </w:rPr>
        <w:t>, la façade est composée :</w:t>
      </w:r>
    </w:p>
    <w:p w14:paraId="4D8744BE" w14:textId="2FF3D3AF" w:rsidR="00417FF6" w:rsidRDefault="00417FF6" w:rsidP="00417FF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596507D6" w14:textId="7EB7401B" w:rsidR="00417FF6" w:rsidRDefault="00417FF6" w:rsidP="00417FF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Pr>
          <w:rFonts w:ascii="Open Sans" w:eastAsia="Calibri" w:hAnsi="Open Sans" w:cs="Open Sans"/>
          <w:sz w:val="20"/>
          <w:szCs w:val="20"/>
        </w:rPr>
        <w:t xml:space="preserve">horizontalement </w:t>
      </w:r>
      <w:r w:rsidRPr="001F29B3">
        <w:rPr>
          <w:rFonts w:ascii="Open Sans" w:eastAsia="Calibri" w:hAnsi="Open Sans" w:cs="Open Sans"/>
          <w:sz w:val="20"/>
          <w:szCs w:val="20"/>
        </w:rPr>
        <w:t>sur le panneau sandwich isolant.</w:t>
      </w:r>
    </w:p>
    <w:p w14:paraId="13EA7C47" w14:textId="101028F5" w:rsidR="00417FF6" w:rsidRDefault="00417FF6" w:rsidP="00417FF6">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Pr>
          <w:rFonts w:ascii="Open Sans" w:eastAsia="Calibri" w:hAnsi="Open Sans" w:cs="Open Sans"/>
          <w:sz w:val="20"/>
          <w:szCs w:val="20"/>
        </w:rPr>
        <w:t xml:space="preserve">verticalement </w:t>
      </w:r>
      <w:r w:rsidRPr="001F29B3">
        <w:rPr>
          <w:rFonts w:ascii="Open Sans" w:eastAsia="Calibri" w:hAnsi="Open Sans" w:cs="Open Sans"/>
          <w:sz w:val="20"/>
          <w:szCs w:val="20"/>
        </w:rPr>
        <w:t>sur le premier réseau de profilés.</w:t>
      </w:r>
    </w:p>
    <w:p w14:paraId="25AE79F9" w14:textId="3F03493B" w:rsidR="00417FF6" w:rsidRPr="001F29B3" w:rsidRDefault="00417FF6" w:rsidP="00417FF6">
      <w:pPr>
        <w:pStyle w:val="Paragraphedeliste"/>
        <w:numPr>
          <w:ilvl w:val="0"/>
          <w:numId w:val="30"/>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013AA7">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7562DC">
        <w:rPr>
          <w:rFonts w:ascii="Open Sans" w:eastAsia="Calibri" w:hAnsi="Open Sans" w:cs="Open Sans"/>
          <w:sz w:val="20"/>
          <w:szCs w:val="20"/>
        </w:rPr>
        <w:t>TENDA</w:t>
      </w:r>
      <w:r w:rsidRPr="001F29B3">
        <w:rPr>
          <w:rFonts w:ascii="Open Sans" w:eastAsia="Calibri" w:hAnsi="Open Sans" w:cs="Open Sans"/>
          <w:sz w:val="20"/>
          <w:szCs w:val="20"/>
        </w:rPr>
        <w:t>.</w:t>
      </w:r>
    </w:p>
    <w:p w14:paraId="318A188E"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19DCC3EC" w14:textId="77777777" w:rsidR="00417FF6" w:rsidRPr="004D6DC1" w:rsidRDefault="00417FF6" w:rsidP="00417FF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45550163"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692305D5" w14:textId="77777777" w:rsidR="00417FF6" w:rsidRDefault="00417FF6" w:rsidP="00417FF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7FA3B888" w14:textId="77777777" w:rsidR="00417FF6" w:rsidRDefault="00417FF6" w:rsidP="00417FF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46EB38C9" w14:textId="77777777" w:rsidR="00417FF6" w:rsidRPr="001F29B3" w:rsidRDefault="00417FF6" w:rsidP="00417FF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48EE48C4" w14:textId="77777777" w:rsidR="00417FF6" w:rsidRDefault="00417FF6" w:rsidP="00417FF6">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786A678F" w14:textId="77777777" w:rsidR="00417FF6" w:rsidRDefault="00417FF6" w:rsidP="00417FF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2513C96B" w14:textId="77777777" w:rsidR="00417FF6" w:rsidRPr="001F29B3" w:rsidRDefault="00417FF6" w:rsidP="00417FF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0322DA14"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6B14DA53"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1A0890AD"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55A30441"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69E70F6C" w14:textId="77777777" w:rsidR="00417FF6"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60478BF5" w14:textId="77777777" w:rsidR="00417FF6" w:rsidRPr="001F29B3" w:rsidRDefault="00417FF6" w:rsidP="00417FF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33D11B28" w14:textId="77777777" w:rsidR="00417FF6" w:rsidRDefault="00417FF6" w:rsidP="00417FF6">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780BAF9C" w14:textId="77777777" w:rsidR="00417FF6" w:rsidRDefault="00417FF6" w:rsidP="00417FF6">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735CEAF4" w14:textId="77777777" w:rsidR="00417FF6" w:rsidRPr="00BC1984" w:rsidRDefault="00417FF6" w:rsidP="00417FF6">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417FF6" w:rsidRPr="00BC1984" w14:paraId="7A0DF274" w14:textId="77777777" w:rsidTr="0042725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4EAE9970" w14:textId="77777777" w:rsidR="00417FF6" w:rsidRPr="00BC1984" w:rsidRDefault="00417FF6" w:rsidP="0042725C">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1B412ED6"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2EAE96B8"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7AD8D58D"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6B8571B7"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79685E1B"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33EF2FEA" w14:textId="77777777" w:rsidR="00417FF6" w:rsidRPr="00BC1984" w:rsidRDefault="00417FF6"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417FF6" w:rsidRPr="00BC1984" w14:paraId="057890F1" w14:textId="77777777" w:rsidTr="0042725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041B532A" w14:textId="77777777" w:rsidR="00417FF6" w:rsidRPr="00BC1984" w:rsidRDefault="00417FF6" w:rsidP="0042725C">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27523206"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1755D9C3"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538FCF8D"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1A3986"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3C1DB9B3"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5B69D0B5" w14:textId="77777777" w:rsidR="00417FF6" w:rsidRPr="00BC1984" w:rsidRDefault="00417FF6"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7D5D1137" w14:textId="77777777" w:rsidR="00417FF6" w:rsidRDefault="00417FF6" w:rsidP="00417FF6">
      <w:pPr>
        <w:spacing w:after="120" w:line="120" w:lineRule="auto"/>
        <w:contextualSpacing/>
        <w:rPr>
          <w:rFonts w:ascii="Open Sans" w:eastAsia="Calibri" w:hAnsi="Open Sans" w:cs="Open Sans"/>
          <w:sz w:val="20"/>
          <w:szCs w:val="20"/>
          <w:u w:val="single"/>
        </w:rPr>
      </w:pPr>
    </w:p>
    <w:p w14:paraId="6F651DDD" w14:textId="77777777" w:rsidR="000415B3" w:rsidRPr="00E01C7B" w:rsidRDefault="000415B3" w:rsidP="000415B3">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15379A74"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112D0EAA" w14:textId="77777777" w:rsidR="000415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08983DEB"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538C0FA6"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3F4144BF" w14:textId="77777777" w:rsidR="000415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45F72D60" w14:textId="77777777" w:rsidR="000415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949B7C"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E1DB531" w14:textId="77777777" w:rsidR="000415B3" w:rsidRDefault="000415B3" w:rsidP="000415B3">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54BD0E23" w14:textId="77777777" w:rsidR="000415B3" w:rsidRDefault="000415B3" w:rsidP="000415B3">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73D43FEF" w14:textId="77777777" w:rsidR="000415B3" w:rsidRDefault="000415B3" w:rsidP="000415B3">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30A5B141" w14:textId="77777777" w:rsidR="000415B3" w:rsidRPr="001F29B3" w:rsidRDefault="000415B3" w:rsidP="000415B3">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Pr>
          <w:rFonts w:ascii="Open Sans" w:eastAsia="Calibri" w:hAnsi="Open Sans" w:cs="Open Sans"/>
          <w:sz w:val="20"/>
          <w:szCs w:val="20"/>
        </w:rPr>
        <w:t xml:space="preserve"> dont l’âme doit être inclinée d’au moins 5 %</w:t>
      </w:r>
      <w:r w:rsidRPr="001F29B3">
        <w:rPr>
          <w:rFonts w:ascii="Open Sans" w:eastAsia="Calibri" w:hAnsi="Open Sans" w:cs="Open Sans"/>
          <w:sz w:val="20"/>
          <w:szCs w:val="20"/>
        </w:rPr>
        <w:t xml:space="preserve">. </w:t>
      </w:r>
    </w:p>
    <w:p w14:paraId="5F8DE726" w14:textId="77777777" w:rsidR="000415B3" w:rsidRPr="009C6B99" w:rsidRDefault="000415B3" w:rsidP="000415B3">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61E98328" w14:textId="77777777" w:rsidR="000415B3" w:rsidRDefault="000415B3" w:rsidP="000415B3">
      <w:pPr>
        <w:spacing w:after="120" w:line="288" w:lineRule="auto"/>
        <w:contextualSpacing/>
        <w:rPr>
          <w:rFonts w:ascii="Open Sans" w:eastAsia="Calibri" w:hAnsi="Open Sans" w:cs="Open Sans"/>
          <w:sz w:val="20"/>
          <w:szCs w:val="20"/>
        </w:rPr>
      </w:pPr>
    </w:p>
    <w:p w14:paraId="56597404" w14:textId="77777777" w:rsidR="000415B3" w:rsidRPr="004E1DA0" w:rsidRDefault="000415B3" w:rsidP="000415B3">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40C4992A" w14:textId="77777777" w:rsidR="000415B3" w:rsidRDefault="000415B3" w:rsidP="000415B3">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5134C6AF"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70B70D06" w14:textId="77777777" w:rsidR="000415B3" w:rsidRDefault="000415B3" w:rsidP="000415B3">
      <w:pPr>
        <w:spacing w:after="120" w:line="120" w:lineRule="auto"/>
        <w:contextualSpacing/>
        <w:rPr>
          <w:rFonts w:ascii="Open Sans" w:eastAsia="Calibri" w:hAnsi="Open Sans" w:cs="Open Sans"/>
          <w:sz w:val="20"/>
          <w:szCs w:val="20"/>
          <w:u w:val="single"/>
        </w:rPr>
      </w:pPr>
    </w:p>
    <w:p w14:paraId="397B9D23" w14:textId="77777777" w:rsidR="000415B3" w:rsidRPr="00B44C36" w:rsidRDefault="000415B3" w:rsidP="000415B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5648083A"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47081F9" w14:textId="77777777" w:rsidR="000415B3"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0B36EC53" w14:textId="77777777" w:rsidR="000415B3"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514EED6" w14:textId="77777777" w:rsidR="000415B3"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1F1B7AE9" w14:textId="77777777" w:rsidR="000415B3" w:rsidRPr="0099094A" w:rsidRDefault="000415B3" w:rsidP="000415B3">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7C46F716" w14:textId="77777777" w:rsidR="000415B3" w:rsidRPr="005E7505" w:rsidRDefault="000415B3" w:rsidP="000415B3">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4981FAE8" w14:textId="77777777" w:rsidR="000415B3" w:rsidRDefault="000415B3" w:rsidP="000415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15D1A4F5" w14:textId="77777777" w:rsidR="00417FF6" w:rsidRPr="009C6B99" w:rsidRDefault="00417FF6" w:rsidP="00417FF6">
      <w:pPr>
        <w:spacing w:after="120" w:line="120" w:lineRule="auto"/>
        <w:contextualSpacing/>
        <w:rPr>
          <w:rFonts w:ascii="Open Sans" w:eastAsia="Calibri" w:hAnsi="Open Sans" w:cs="Open Sans"/>
          <w:sz w:val="20"/>
          <w:szCs w:val="20"/>
        </w:rPr>
      </w:pPr>
    </w:p>
    <w:p w14:paraId="26B21483" w14:textId="275A8F09" w:rsidR="00417FF6" w:rsidRPr="00B44C36" w:rsidRDefault="00417FF6" w:rsidP="00417FF6">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4C2BC0">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gamme </w:t>
      </w:r>
      <w:r w:rsidR="007562DC">
        <w:rPr>
          <w:rFonts w:ascii="Open Sans" w:eastAsia="Calibri" w:hAnsi="Open Sans" w:cs="Open Sans"/>
          <w:b/>
          <w:bCs/>
          <w:sz w:val="20"/>
          <w:szCs w:val="20"/>
          <w:u w:val="single"/>
        </w:rPr>
        <w:t>TENDA</w:t>
      </w:r>
    </w:p>
    <w:p w14:paraId="18C9A056" w14:textId="77777777" w:rsidR="00417FF6" w:rsidRDefault="00417FF6" w:rsidP="00417FF6">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650EE723" w14:textId="5C55A4A3" w:rsidR="00722B45" w:rsidRPr="00C2505F" w:rsidRDefault="00722B45" w:rsidP="00722B45">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bénéficient d’une</w:t>
      </w:r>
      <w:r w:rsidRPr="004B63DD">
        <w:rPr>
          <w:rFonts w:ascii="Open Sans" w:hAnsi="Open Sans" w:cs="Open Sans"/>
          <w:sz w:val="20"/>
          <w:szCs w:val="20"/>
        </w:rPr>
        <w:t xml:space="preserve"> </w:t>
      </w:r>
      <w:r>
        <w:rPr>
          <w:rFonts w:ascii="Open Sans" w:hAnsi="Open Sans" w:cs="Open Sans"/>
          <w:sz w:val="20"/>
          <w:szCs w:val="20"/>
        </w:rPr>
        <w:t>h</w:t>
      </w:r>
      <w:r w:rsidRPr="004B63DD">
        <w:rPr>
          <w:rFonts w:ascii="Open Sans" w:hAnsi="Open Sans" w:cs="Open Sans"/>
          <w:sz w:val="20"/>
          <w:szCs w:val="20"/>
        </w:rPr>
        <w:t xml:space="preserve">aute protection galvanique </w:t>
      </w:r>
      <w:r w:rsidR="00F71344">
        <w:rPr>
          <w:rFonts w:ascii="Open Sans" w:hAnsi="Open Sans" w:cs="Open Sans"/>
          <w:sz w:val="20"/>
          <w:szCs w:val="20"/>
        </w:rPr>
        <w:t>Z275 OU ZM120</w:t>
      </w:r>
      <w:r w:rsidRPr="004B63DD">
        <w:rPr>
          <w:rFonts w:ascii="Open Sans" w:hAnsi="Open Sans" w:cs="Open Sans"/>
          <w:sz w:val="20"/>
          <w:szCs w:val="20"/>
        </w:rPr>
        <w:t xml:space="preserve">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6E634D03" w14:textId="77777777" w:rsidR="007D06E1" w:rsidRPr="007D06E1" w:rsidRDefault="007D06E1" w:rsidP="007D06E1">
      <w:pPr>
        <w:pStyle w:val="Sansinterligne"/>
        <w:ind w:firstLine="708"/>
        <w:jc w:val="both"/>
        <w:rPr>
          <w:rFonts w:ascii="Open Sans" w:hAnsi="Open Sans" w:cs="Open Sans"/>
          <w:sz w:val="20"/>
          <w:szCs w:val="20"/>
        </w:rPr>
      </w:pPr>
      <w:r w:rsidRPr="007D06E1">
        <w:rPr>
          <w:rFonts w:ascii="Open Sans" w:hAnsi="Open Sans" w:cs="Open Sans"/>
          <w:sz w:val="20"/>
          <w:szCs w:val="20"/>
        </w:rPr>
        <w:t>prélaquage bi-face 35µm 3S-HDuo haute durabilité de coloris … (Nuanciers Originel et Matières hors 604 DARK BRONZE)</w:t>
      </w:r>
    </w:p>
    <w:p w14:paraId="728E5669" w14:textId="77777777" w:rsidR="007D06E1" w:rsidRPr="007D06E1" w:rsidRDefault="007D06E1" w:rsidP="005E07F9">
      <w:pPr>
        <w:pStyle w:val="Sansinterligne"/>
        <w:jc w:val="both"/>
        <w:rPr>
          <w:rFonts w:ascii="Open Sans" w:hAnsi="Open Sans" w:cs="Open Sans"/>
          <w:sz w:val="20"/>
          <w:szCs w:val="20"/>
        </w:rPr>
      </w:pPr>
      <w:r w:rsidRPr="007D06E1">
        <w:rPr>
          <w:rFonts w:ascii="Open Sans" w:hAnsi="Open Sans" w:cs="Open Sans"/>
          <w:sz w:val="20"/>
          <w:szCs w:val="20"/>
        </w:rPr>
        <w:t>ou</w:t>
      </w:r>
      <w:r w:rsidRPr="007D06E1">
        <w:rPr>
          <w:rFonts w:ascii="Open Sans" w:hAnsi="Open Sans" w:cs="Open Sans"/>
          <w:sz w:val="20"/>
          <w:szCs w:val="20"/>
        </w:rPr>
        <w:tab/>
        <w:t>prélaquage 50µm de coloris … (Nuancier Esprit Zinc + 604 DARK BRONZE)</w:t>
      </w:r>
    </w:p>
    <w:p w14:paraId="5995F0C1" w14:textId="77777777" w:rsidR="007D06E1" w:rsidRPr="007D06E1" w:rsidRDefault="007D06E1" w:rsidP="005E07F9">
      <w:pPr>
        <w:pStyle w:val="Sansinterligne"/>
        <w:jc w:val="both"/>
        <w:rPr>
          <w:rFonts w:ascii="Open Sans" w:hAnsi="Open Sans" w:cs="Open Sans"/>
          <w:sz w:val="20"/>
          <w:szCs w:val="20"/>
        </w:rPr>
      </w:pPr>
      <w:r w:rsidRPr="007D06E1">
        <w:rPr>
          <w:rFonts w:ascii="Open Sans" w:hAnsi="Open Sans" w:cs="Open Sans"/>
          <w:sz w:val="20"/>
          <w:szCs w:val="20"/>
        </w:rPr>
        <w:t>ou</w:t>
      </w:r>
      <w:r w:rsidRPr="007D06E1">
        <w:rPr>
          <w:rFonts w:ascii="Open Sans" w:hAnsi="Open Sans" w:cs="Open Sans"/>
          <w:sz w:val="20"/>
          <w:szCs w:val="20"/>
        </w:rPr>
        <w:tab/>
        <w:t>postlaquage 60µm de coloris RAL…</w:t>
      </w:r>
    </w:p>
    <w:p w14:paraId="52B25EE8" w14:textId="68420AA1" w:rsidR="00722B45" w:rsidRDefault="007D06E1" w:rsidP="005E07F9">
      <w:pPr>
        <w:pStyle w:val="Sansinterligne"/>
        <w:jc w:val="both"/>
        <w:rPr>
          <w:rFonts w:ascii="Open Sans" w:hAnsi="Open Sans" w:cs="Open Sans"/>
          <w:sz w:val="20"/>
          <w:szCs w:val="20"/>
        </w:rPr>
      </w:pPr>
      <w:r w:rsidRPr="007D06E1">
        <w:rPr>
          <w:rFonts w:ascii="Open Sans" w:hAnsi="Open Sans" w:cs="Open Sans"/>
          <w:sz w:val="20"/>
          <w:szCs w:val="20"/>
        </w:rPr>
        <w:t>ou</w:t>
      </w:r>
      <w:r w:rsidRPr="007D06E1">
        <w:rPr>
          <w:rFonts w:ascii="Open Sans" w:hAnsi="Open Sans" w:cs="Open Sans"/>
          <w:sz w:val="20"/>
          <w:szCs w:val="20"/>
        </w:rPr>
        <w:tab/>
        <w:t>25µ face extérieure coloris RAL… (nuancier BACACIER Classique)</w:t>
      </w:r>
    </w:p>
    <w:p w14:paraId="519011EC" w14:textId="77777777" w:rsidR="007D06E1" w:rsidRDefault="007D06E1" w:rsidP="007D06E1">
      <w:pPr>
        <w:pStyle w:val="Sansinterligne"/>
        <w:ind w:firstLine="708"/>
        <w:jc w:val="both"/>
        <w:rPr>
          <w:rFonts w:ascii="Open Sans" w:hAnsi="Open Sans" w:cs="Open Sans"/>
          <w:sz w:val="20"/>
          <w:szCs w:val="20"/>
        </w:rPr>
      </w:pPr>
    </w:p>
    <w:p w14:paraId="737C679D" w14:textId="3B02041E"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La gamme</w:t>
      </w:r>
      <w:r w:rsidR="005E07F9">
        <w:rPr>
          <w:rFonts w:ascii="Open Sans" w:eastAsia="Calibri" w:hAnsi="Open Sans" w:cs="Open Sans"/>
          <w:sz w:val="20"/>
          <w:szCs w:val="20"/>
        </w:rPr>
        <w:t xml:space="preserve"> TENDA</w:t>
      </w:r>
      <w:r>
        <w:rPr>
          <w:rFonts w:ascii="Open Sans" w:eastAsia="Calibri" w:hAnsi="Open Sans" w:cs="Open Sans"/>
          <w:sz w:val="20"/>
          <w:szCs w:val="20"/>
        </w:rPr>
        <w:t xml:space="preserve"> comprend : </w:t>
      </w:r>
    </w:p>
    <w:p w14:paraId="069FE49B" w14:textId="48491846" w:rsidR="00417FF6" w:rsidRDefault="00417FF6" w:rsidP="00417FF6">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7D06E1">
        <w:rPr>
          <w:rFonts w:ascii="Open Sans" w:eastAsia="Calibri" w:hAnsi="Open Sans" w:cs="Open Sans"/>
          <w:sz w:val="20"/>
          <w:szCs w:val="20"/>
        </w:rPr>
        <w:t>e</w:t>
      </w:r>
      <w:r>
        <w:rPr>
          <w:rFonts w:ascii="Open Sans" w:eastAsia="Calibri" w:hAnsi="Open Sans" w:cs="Open Sans"/>
          <w:sz w:val="20"/>
          <w:szCs w:val="20"/>
        </w:rPr>
        <w:t xml:space="preserve"> parement métallique de façade </w:t>
      </w:r>
      <w:r w:rsidR="007D06E1">
        <w:rPr>
          <w:rFonts w:ascii="Open Sans" w:eastAsia="Calibri" w:hAnsi="Open Sans" w:cs="Open Sans"/>
          <w:sz w:val="20"/>
          <w:szCs w:val="20"/>
        </w:rPr>
        <w:t>REGOLARE 800</w:t>
      </w:r>
      <w:r>
        <w:rPr>
          <w:rFonts w:ascii="Open Sans" w:eastAsia="Calibri" w:hAnsi="Open Sans" w:cs="Open Sans"/>
          <w:sz w:val="20"/>
          <w:szCs w:val="20"/>
        </w:rPr>
        <w:t xml:space="preserve"> qui est en largeur utile de </w:t>
      </w:r>
      <w:r w:rsidR="007D06E1">
        <w:rPr>
          <w:rFonts w:ascii="Open Sans" w:eastAsia="Calibri" w:hAnsi="Open Sans" w:cs="Open Sans"/>
          <w:sz w:val="20"/>
          <w:szCs w:val="20"/>
        </w:rPr>
        <w:t>8</w:t>
      </w:r>
      <w:r w:rsidR="00030C5A">
        <w:rPr>
          <w:rFonts w:ascii="Open Sans" w:eastAsia="Calibri" w:hAnsi="Open Sans" w:cs="Open Sans"/>
          <w:sz w:val="20"/>
          <w:szCs w:val="20"/>
        </w:rPr>
        <w:t>00</w:t>
      </w:r>
      <w:r>
        <w:rPr>
          <w:rFonts w:ascii="Open Sans" w:eastAsia="Calibri" w:hAnsi="Open Sans" w:cs="Open Sans"/>
          <w:sz w:val="20"/>
          <w:szCs w:val="20"/>
        </w:rPr>
        <w:t xml:space="preserve"> mm.</w:t>
      </w:r>
    </w:p>
    <w:p w14:paraId="3F11B772" w14:textId="1C4C5556" w:rsidR="00417FF6" w:rsidRDefault="00417FF6" w:rsidP="00417FF6">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7D06E1">
        <w:rPr>
          <w:rFonts w:ascii="Open Sans" w:eastAsia="Calibri" w:hAnsi="Open Sans" w:cs="Open Sans"/>
          <w:sz w:val="20"/>
          <w:szCs w:val="20"/>
        </w:rPr>
        <w:t>RITMICA</w:t>
      </w:r>
      <w:r w:rsidR="00030C5A">
        <w:rPr>
          <w:rFonts w:ascii="Open Sans" w:eastAsia="Calibri" w:hAnsi="Open Sans" w:cs="Open Sans"/>
          <w:sz w:val="20"/>
          <w:szCs w:val="20"/>
        </w:rPr>
        <w:t xml:space="preserve"> 9</w:t>
      </w:r>
      <w:r w:rsidR="007D06E1">
        <w:rPr>
          <w:rFonts w:ascii="Open Sans" w:eastAsia="Calibri" w:hAnsi="Open Sans" w:cs="Open Sans"/>
          <w:sz w:val="20"/>
          <w:szCs w:val="20"/>
        </w:rPr>
        <w:t>3</w:t>
      </w:r>
      <w:r w:rsidR="00030C5A">
        <w:rPr>
          <w:rFonts w:ascii="Open Sans" w:eastAsia="Calibri" w:hAnsi="Open Sans" w:cs="Open Sans"/>
          <w:sz w:val="20"/>
          <w:szCs w:val="20"/>
        </w:rPr>
        <w:t>0</w:t>
      </w:r>
      <w:r>
        <w:rPr>
          <w:rFonts w:ascii="Open Sans" w:eastAsia="Calibri" w:hAnsi="Open Sans" w:cs="Open Sans"/>
          <w:sz w:val="20"/>
          <w:szCs w:val="20"/>
        </w:rPr>
        <w:t xml:space="preserve"> qui est en largeur utile de 9</w:t>
      </w:r>
      <w:r w:rsidR="007D06E1">
        <w:rPr>
          <w:rFonts w:ascii="Open Sans" w:eastAsia="Calibri" w:hAnsi="Open Sans" w:cs="Open Sans"/>
          <w:sz w:val="20"/>
          <w:szCs w:val="20"/>
        </w:rPr>
        <w:t>3</w:t>
      </w:r>
      <w:r w:rsidR="00030C5A">
        <w:rPr>
          <w:rFonts w:ascii="Open Sans" w:eastAsia="Calibri" w:hAnsi="Open Sans" w:cs="Open Sans"/>
          <w:sz w:val="20"/>
          <w:szCs w:val="20"/>
        </w:rPr>
        <w:t>0</w:t>
      </w:r>
      <w:r>
        <w:rPr>
          <w:rFonts w:ascii="Open Sans" w:eastAsia="Calibri" w:hAnsi="Open Sans" w:cs="Open Sans"/>
          <w:sz w:val="20"/>
          <w:szCs w:val="20"/>
        </w:rPr>
        <w:t xml:space="preserve"> mm.</w:t>
      </w:r>
    </w:p>
    <w:p w14:paraId="06D903C8" w14:textId="62564909" w:rsidR="00417FF6" w:rsidRDefault="00417FF6" w:rsidP="00417FF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Les parements métalliques de façade sont proposés en longueur maximale de </w:t>
      </w:r>
      <w:r w:rsidR="00156A3D">
        <w:rPr>
          <w:rFonts w:ascii="Open Sans" w:eastAsia="Calibri" w:hAnsi="Open Sans" w:cs="Open Sans"/>
          <w:sz w:val="20"/>
          <w:szCs w:val="20"/>
        </w:rPr>
        <w:t>1</w:t>
      </w:r>
      <w:r w:rsidR="005D6BE1">
        <w:rPr>
          <w:rFonts w:ascii="Open Sans" w:eastAsia="Calibri" w:hAnsi="Open Sans" w:cs="Open Sans"/>
          <w:sz w:val="20"/>
          <w:szCs w:val="20"/>
        </w:rPr>
        <w:t>3</w:t>
      </w:r>
      <w:r w:rsidR="00756823">
        <w:rPr>
          <w:rFonts w:ascii="Open Sans" w:eastAsia="Calibri" w:hAnsi="Open Sans" w:cs="Open Sans"/>
          <w:sz w:val="20"/>
          <w:szCs w:val="20"/>
        </w:rPr>
        <w:t>000</w:t>
      </w:r>
      <w:r>
        <w:rPr>
          <w:rFonts w:ascii="Open Sans" w:eastAsia="Calibri" w:hAnsi="Open Sans" w:cs="Open Sans"/>
          <w:sz w:val="20"/>
          <w:szCs w:val="20"/>
        </w:rPr>
        <w:t xml:space="preserve"> mm.</w:t>
      </w:r>
    </w:p>
    <w:p w14:paraId="4E72D08B" w14:textId="77777777" w:rsidR="00417FF6" w:rsidRPr="00E01C7B" w:rsidRDefault="00417FF6" w:rsidP="00417FF6">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lastRenderedPageBreak/>
        <w:t>Mise en œuvre</w:t>
      </w:r>
    </w:p>
    <w:p w14:paraId="25B749E0"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 ».</w:t>
      </w:r>
    </w:p>
    <w:p w14:paraId="0399E700" w14:textId="77777777" w:rsidR="00417FF6" w:rsidRDefault="00417FF6" w:rsidP="00417FF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423FAF8F" w14:textId="77777777" w:rsidR="00417FF6" w:rsidRDefault="00417FF6" w:rsidP="00417FF6">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203EE282" w14:textId="2FD65774" w:rsidR="00417FF6" w:rsidRDefault="00417FF6" w:rsidP="00417FF6">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les parements métalliques de façade de la gamme </w:t>
      </w:r>
      <w:r w:rsidR="006E2767">
        <w:rPr>
          <w:rFonts w:ascii="Open Sans" w:eastAsia="Calibri" w:hAnsi="Open Sans" w:cs="Open Sans"/>
          <w:sz w:val="20"/>
          <w:szCs w:val="20"/>
        </w:rPr>
        <w:t>TENDA</w:t>
      </w:r>
      <w:r>
        <w:rPr>
          <w:rFonts w:ascii="Open Sans" w:eastAsia="Calibri" w:hAnsi="Open Sans" w:cs="Open Sans"/>
          <w:sz w:val="20"/>
          <w:szCs w:val="20"/>
        </w:rPr>
        <w:t>.</w:t>
      </w:r>
    </w:p>
    <w:p w14:paraId="27845BBC" w14:textId="77777777" w:rsidR="00417FF6" w:rsidRDefault="00417FF6" w:rsidP="00417FF6">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1BC01237" w14:textId="77777777" w:rsidR="00417FF6" w:rsidRPr="004B1855" w:rsidRDefault="00417FF6" w:rsidP="00417FF6">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7360DA27"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659E0FD7"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7BD286BD"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5688067B" w14:textId="77777777" w:rsidR="000F24E3" w:rsidRPr="00035EE6" w:rsidRDefault="000F24E3" w:rsidP="000F24E3">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3B6D8668"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73CA28EE"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 mise en œuvre est effectuée conformément aux dispositions indiquées dans le DTA « Architecturale de Bardage » complétées par celles indiquées dans l’ATEx « BENCHMARK Karrier Fr ».</w:t>
      </w:r>
    </w:p>
    <w:p w14:paraId="2D913AE8"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378DA748"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A l’avancement, la rive mâle de l’élément à poser est emboîtée dans la rive femelle du dernier élément posé et fixé.</w:t>
      </w:r>
    </w:p>
    <w:p w14:paraId="50573631"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3CC6E91E" w14:textId="77777777" w:rsidR="000F24E3" w:rsidRDefault="000F24E3" w:rsidP="000F24E3">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35E9EC48" w14:textId="77777777" w:rsidR="000F24E3" w:rsidRDefault="000F24E3" w:rsidP="000F24E3">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6A1A4B76" w14:textId="77777777" w:rsidR="000F24E3" w:rsidRPr="00967EFC"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DCDEEBF"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lastRenderedPageBreak/>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horizontalement sur les panneaux sandwich isolants</w:t>
      </w:r>
    </w:p>
    <w:p w14:paraId="304CD90C" w14:textId="77777777" w:rsidR="000F24E3" w:rsidRPr="00812086" w:rsidRDefault="000F24E3" w:rsidP="000F24E3">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0F2F7C07" w14:textId="77777777" w:rsidR="000F24E3" w:rsidRPr="00812086" w:rsidRDefault="000F24E3" w:rsidP="000F24E3">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2BB5C3C7" w14:textId="77777777" w:rsidR="000F24E3" w:rsidRPr="00B55E5D" w:rsidRDefault="000F24E3" w:rsidP="000F24E3">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77247BB6" w14:textId="77777777" w:rsidR="000F24E3" w:rsidRPr="00B55E5D" w:rsidRDefault="000F24E3" w:rsidP="000F24E3">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4DAAEDD3" w14:textId="77777777" w:rsidR="000F24E3" w:rsidRPr="00B55E5D" w:rsidRDefault="000F24E3" w:rsidP="000F24E3">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3172A978" w14:textId="77777777" w:rsidR="000F24E3" w:rsidRPr="00B55E5D" w:rsidRDefault="000F24E3" w:rsidP="000F24E3">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16DC3710" w14:textId="77777777" w:rsidR="000F24E3" w:rsidRPr="00B55E5D" w:rsidRDefault="000F24E3" w:rsidP="000F24E3">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19392BD2" w14:textId="77777777" w:rsidR="000F24E3" w:rsidRPr="009C1BAE" w:rsidRDefault="000F24E3" w:rsidP="000F24E3">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4152C3F2"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1F33FEA5"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 chaque emboîtement des panneaux sandwichs isolants (cf. figure 22) par l’intermédiaire de 2 vis ayant comme référence :</w:t>
      </w:r>
    </w:p>
    <w:p w14:paraId="28BCD0B7" w14:textId="77777777" w:rsidR="000F24E3" w:rsidRPr="00AE6A21" w:rsidRDefault="000F24E3" w:rsidP="000F24E3">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6E9FCEF9" w14:textId="77777777" w:rsidR="000F24E3" w:rsidRPr="00AE6A21" w:rsidRDefault="000F24E3" w:rsidP="000F24E3">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03D42624" w14:textId="77777777" w:rsidR="000F24E3" w:rsidRPr="00AE6A21" w:rsidRDefault="000F24E3" w:rsidP="000F24E3">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7CC7D3F8"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191BC755" w14:textId="77777777" w:rsidR="000F24E3" w:rsidRPr="00AE6A21" w:rsidRDefault="000F24E3" w:rsidP="000F24E3">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des montants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59BAD3A1" w14:textId="77777777" w:rsidR="000F24E3" w:rsidRPr="00812086" w:rsidRDefault="000F24E3" w:rsidP="000F24E3">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lastRenderedPageBreak/>
        <w:t>Pour les profilés en forme de zed :</w:t>
      </w:r>
    </w:p>
    <w:p w14:paraId="6F55B9D4" w14:textId="77777777" w:rsidR="000F24E3" w:rsidRPr="00AE6A21" w:rsidRDefault="000F24E3" w:rsidP="000F24E3">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46C6DAE6" w14:textId="77777777" w:rsidR="000F24E3" w:rsidRPr="00AE6A21" w:rsidRDefault="000F24E3" w:rsidP="000F24E3">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55C87E26" w14:textId="77777777" w:rsidR="000F24E3" w:rsidRPr="009C1BAE" w:rsidRDefault="000F24E3" w:rsidP="000F24E3">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079C546B" w14:textId="77777777" w:rsidR="000F24E3" w:rsidRPr="00AE6A21" w:rsidRDefault="000F24E3" w:rsidP="000F24E3">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135F53D5" w14:textId="77777777" w:rsidR="000F24E3" w:rsidRPr="00AE6A21" w:rsidRDefault="000F24E3" w:rsidP="000F24E3">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4B1FC661"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1D0A5354"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1D25D714" w14:textId="77777777" w:rsidR="000F24E3" w:rsidRDefault="000F24E3" w:rsidP="000F24E3">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posés verticalement constituant le double réseau</w:t>
      </w:r>
    </w:p>
    <w:p w14:paraId="4FB8C918" w14:textId="77777777" w:rsidR="000F24E3" w:rsidRPr="00CE36F9" w:rsidRDefault="000F24E3" w:rsidP="000F24E3">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7F078BB6" w14:textId="77777777" w:rsidR="000F24E3" w:rsidRDefault="000F24E3" w:rsidP="000F24E3">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5F87B7D5" w14:textId="77777777" w:rsidR="000F24E3"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74A443D0" w14:textId="77777777" w:rsidR="000F24E3" w:rsidRPr="007E68FD" w:rsidRDefault="000F24E3" w:rsidP="000F24E3">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L’entraxe des profilés doit faire l’objet d’une détermination et/ou d’une vérification tout en étant limitée à 2,00 m.</w:t>
      </w:r>
    </w:p>
    <w:p w14:paraId="13CA3DD2" w14:textId="77777777" w:rsidR="000F24E3" w:rsidRDefault="000F24E3" w:rsidP="00417FF6">
      <w:pPr>
        <w:spacing w:after="120" w:line="288" w:lineRule="auto"/>
        <w:contextualSpacing/>
        <w:rPr>
          <w:rFonts w:ascii="Open Sans" w:eastAsia="Calibri" w:hAnsi="Open Sans" w:cs="Open Sans"/>
          <w:b/>
          <w:bCs/>
          <w:sz w:val="20"/>
          <w:szCs w:val="20"/>
          <w:u w:val="single"/>
        </w:rPr>
      </w:pPr>
    </w:p>
    <w:p w14:paraId="02E6FEF8" w14:textId="2E61BED9" w:rsidR="00417FF6" w:rsidRDefault="00417FF6" w:rsidP="00417FF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722B45">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gamme </w:t>
      </w:r>
      <w:r w:rsidR="007014CE">
        <w:rPr>
          <w:rFonts w:ascii="Open Sans" w:eastAsia="Calibri" w:hAnsi="Open Sans" w:cs="Open Sans"/>
          <w:b/>
          <w:bCs/>
          <w:sz w:val="20"/>
          <w:szCs w:val="20"/>
          <w:u w:val="single"/>
        </w:rPr>
        <w:t>TENDA</w:t>
      </w:r>
    </w:p>
    <w:p w14:paraId="72D02FEE" w14:textId="77777777" w:rsidR="00417FF6" w:rsidRPr="00CE36F9" w:rsidRDefault="00417FF6" w:rsidP="00417FF6">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777777" w:rsidR="00DD4309" w:rsidRPr="003907D5" w:rsidRDefault="00DD4309" w:rsidP="00077DC6">
      <w:pPr>
        <w:pStyle w:val="Sansinterligne"/>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C0F6" w14:textId="77777777" w:rsidR="00C5265F" w:rsidRDefault="00C5265F" w:rsidP="006F74A1">
      <w:pPr>
        <w:spacing w:after="0" w:line="240" w:lineRule="auto"/>
      </w:pPr>
      <w:r>
        <w:separator/>
      </w:r>
    </w:p>
  </w:endnote>
  <w:endnote w:type="continuationSeparator" w:id="0">
    <w:p w14:paraId="711E3F37" w14:textId="77777777" w:rsidR="00C5265F" w:rsidRDefault="00C5265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0B413" w14:textId="77777777" w:rsidR="00C5265F" w:rsidRDefault="00C5265F" w:rsidP="006F74A1">
      <w:pPr>
        <w:spacing w:after="0" w:line="240" w:lineRule="auto"/>
      </w:pPr>
      <w:r>
        <w:separator/>
      </w:r>
    </w:p>
  </w:footnote>
  <w:footnote w:type="continuationSeparator" w:id="0">
    <w:p w14:paraId="2B3E065E" w14:textId="77777777" w:rsidR="00C5265F" w:rsidRDefault="00C5265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002BE" w14:textId="43E0110B" w:rsidR="00FB7938"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05FAA07A">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7364673">
    <w:abstractNumId w:val="40"/>
  </w:num>
  <w:num w:numId="2" w16cid:durableId="139808367">
    <w:abstractNumId w:val="18"/>
  </w:num>
  <w:num w:numId="3" w16cid:durableId="240723854">
    <w:abstractNumId w:val="41"/>
  </w:num>
  <w:num w:numId="4" w16cid:durableId="374433174">
    <w:abstractNumId w:val="13"/>
  </w:num>
  <w:num w:numId="5" w16cid:durableId="1236554330">
    <w:abstractNumId w:val="29"/>
  </w:num>
  <w:num w:numId="6" w16cid:durableId="1989478704">
    <w:abstractNumId w:val="34"/>
  </w:num>
  <w:num w:numId="7" w16cid:durableId="7023616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134637">
    <w:abstractNumId w:val="29"/>
  </w:num>
  <w:num w:numId="9" w16cid:durableId="126825326">
    <w:abstractNumId w:val="3"/>
  </w:num>
  <w:num w:numId="10" w16cid:durableId="2108622267">
    <w:abstractNumId w:val="30"/>
  </w:num>
  <w:num w:numId="11" w16cid:durableId="176968552">
    <w:abstractNumId w:val="4"/>
  </w:num>
  <w:num w:numId="12" w16cid:durableId="1304382623">
    <w:abstractNumId w:val="2"/>
  </w:num>
  <w:num w:numId="13" w16cid:durableId="2021661450">
    <w:abstractNumId w:val="9"/>
  </w:num>
  <w:num w:numId="14" w16cid:durableId="1113400014">
    <w:abstractNumId w:val="19"/>
  </w:num>
  <w:num w:numId="15" w16cid:durableId="8147312">
    <w:abstractNumId w:val="0"/>
  </w:num>
  <w:num w:numId="16" w16cid:durableId="1998730367">
    <w:abstractNumId w:val="21"/>
  </w:num>
  <w:num w:numId="17" w16cid:durableId="117994501">
    <w:abstractNumId w:val="15"/>
  </w:num>
  <w:num w:numId="18" w16cid:durableId="844710570">
    <w:abstractNumId w:val="33"/>
  </w:num>
  <w:num w:numId="19" w16cid:durableId="921452433">
    <w:abstractNumId w:val="6"/>
  </w:num>
  <w:num w:numId="20" w16cid:durableId="2059817438">
    <w:abstractNumId w:val="22"/>
  </w:num>
  <w:num w:numId="21" w16cid:durableId="1156453052">
    <w:abstractNumId w:val="27"/>
  </w:num>
  <w:num w:numId="22" w16cid:durableId="266894533">
    <w:abstractNumId w:val="5"/>
  </w:num>
  <w:num w:numId="23" w16cid:durableId="2073308961">
    <w:abstractNumId w:val="38"/>
  </w:num>
  <w:num w:numId="24" w16cid:durableId="1648976332">
    <w:abstractNumId w:val="14"/>
  </w:num>
  <w:num w:numId="25" w16cid:durableId="519317949">
    <w:abstractNumId w:val="10"/>
  </w:num>
  <w:num w:numId="26" w16cid:durableId="1044479167">
    <w:abstractNumId w:val="25"/>
  </w:num>
  <w:num w:numId="27" w16cid:durableId="1582792355">
    <w:abstractNumId w:val="39"/>
  </w:num>
  <w:num w:numId="28" w16cid:durableId="37558609">
    <w:abstractNumId w:val="12"/>
  </w:num>
  <w:num w:numId="29" w16cid:durableId="1021398681">
    <w:abstractNumId w:val="16"/>
  </w:num>
  <w:num w:numId="30" w16cid:durableId="1930041218">
    <w:abstractNumId w:val="37"/>
  </w:num>
  <w:num w:numId="31" w16cid:durableId="1202328768">
    <w:abstractNumId w:val="28"/>
  </w:num>
  <w:num w:numId="32" w16cid:durableId="713770632">
    <w:abstractNumId w:val="31"/>
  </w:num>
  <w:num w:numId="33" w16cid:durableId="1822381996">
    <w:abstractNumId w:val="20"/>
  </w:num>
  <w:num w:numId="34" w16cid:durableId="1974485557">
    <w:abstractNumId w:val="26"/>
  </w:num>
  <w:num w:numId="35" w16cid:durableId="1412507880">
    <w:abstractNumId w:val="1"/>
  </w:num>
  <w:num w:numId="36" w16cid:durableId="2072531463">
    <w:abstractNumId w:val="32"/>
  </w:num>
  <w:num w:numId="37" w16cid:durableId="302122190">
    <w:abstractNumId w:val="8"/>
  </w:num>
  <w:num w:numId="38" w16cid:durableId="1670406018">
    <w:abstractNumId w:val="35"/>
  </w:num>
  <w:num w:numId="39" w16cid:durableId="120998043">
    <w:abstractNumId w:val="17"/>
  </w:num>
  <w:num w:numId="40" w16cid:durableId="949050263">
    <w:abstractNumId w:val="11"/>
  </w:num>
  <w:num w:numId="41" w16cid:durableId="1896089283">
    <w:abstractNumId w:val="36"/>
  </w:num>
  <w:num w:numId="42" w16cid:durableId="1450777082">
    <w:abstractNumId w:val="23"/>
  </w:num>
  <w:num w:numId="43" w16cid:durableId="1863981484">
    <w:abstractNumId w:val="24"/>
  </w:num>
  <w:num w:numId="44" w16cid:durableId="15342660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3AA7"/>
    <w:rsid w:val="00027A13"/>
    <w:rsid w:val="000303CF"/>
    <w:rsid w:val="00030C5A"/>
    <w:rsid w:val="000415B3"/>
    <w:rsid w:val="00054086"/>
    <w:rsid w:val="00066BAD"/>
    <w:rsid w:val="00077DC6"/>
    <w:rsid w:val="000976E2"/>
    <w:rsid w:val="000A56A2"/>
    <w:rsid w:val="000B0E35"/>
    <w:rsid w:val="000B2D36"/>
    <w:rsid w:val="000D5C50"/>
    <w:rsid w:val="000F24E3"/>
    <w:rsid w:val="00144E05"/>
    <w:rsid w:val="00156A3D"/>
    <w:rsid w:val="00185188"/>
    <w:rsid w:val="00191F3E"/>
    <w:rsid w:val="001A3046"/>
    <w:rsid w:val="001B011E"/>
    <w:rsid w:val="001E1C2E"/>
    <w:rsid w:val="00217518"/>
    <w:rsid w:val="0029446A"/>
    <w:rsid w:val="002A6041"/>
    <w:rsid w:val="002D35D8"/>
    <w:rsid w:val="002D3B67"/>
    <w:rsid w:val="002D6CE8"/>
    <w:rsid w:val="002E5A3B"/>
    <w:rsid w:val="002F2FF6"/>
    <w:rsid w:val="002F372C"/>
    <w:rsid w:val="003446FC"/>
    <w:rsid w:val="00344FF4"/>
    <w:rsid w:val="0035162C"/>
    <w:rsid w:val="003639AA"/>
    <w:rsid w:val="003907D5"/>
    <w:rsid w:val="003A70EC"/>
    <w:rsid w:val="003C1137"/>
    <w:rsid w:val="003F3BFB"/>
    <w:rsid w:val="00417FF6"/>
    <w:rsid w:val="00421FB8"/>
    <w:rsid w:val="004403CA"/>
    <w:rsid w:val="004852D4"/>
    <w:rsid w:val="004860A9"/>
    <w:rsid w:val="0048678C"/>
    <w:rsid w:val="004A48D3"/>
    <w:rsid w:val="004C2BC0"/>
    <w:rsid w:val="004F2FA2"/>
    <w:rsid w:val="004F7513"/>
    <w:rsid w:val="00500CC4"/>
    <w:rsid w:val="0050233F"/>
    <w:rsid w:val="00502F6F"/>
    <w:rsid w:val="0052264C"/>
    <w:rsid w:val="00546BF6"/>
    <w:rsid w:val="00551527"/>
    <w:rsid w:val="00596396"/>
    <w:rsid w:val="005D2181"/>
    <w:rsid w:val="005D6BE1"/>
    <w:rsid w:val="005E07F9"/>
    <w:rsid w:val="005E53A2"/>
    <w:rsid w:val="005E6472"/>
    <w:rsid w:val="00607FCE"/>
    <w:rsid w:val="00612234"/>
    <w:rsid w:val="00660046"/>
    <w:rsid w:val="00697349"/>
    <w:rsid w:val="006A39AC"/>
    <w:rsid w:val="006E0486"/>
    <w:rsid w:val="006E2767"/>
    <w:rsid w:val="006F74A1"/>
    <w:rsid w:val="007014CE"/>
    <w:rsid w:val="007139C9"/>
    <w:rsid w:val="007225CB"/>
    <w:rsid w:val="00722B45"/>
    <w:rsid w:val="00732580"/>
    <w:rsid w:val="00732C77"/>
    <w:rsid w:val="007562DC"/>
    <w:rsid w:val="00756823"/>
    <w:rsid w:val="007923F0"/>
    <w:rsid w:val="007B46C6"/>
    <w:rsid w:val="007B53B3"/>
    <w:rsid w:val="007D06E1"/>
    <w:rsid w:val="007D54D8"/>
    <w:rsid w:val="0083191A"/>
    <w:rsid w:val="00851BE4"/>
    <w:rsid w:val="00870AC1"/>
    <w:rsid w:val="00872040"/>
    <w:rsid w:val="00880FE8"/>
    <w:rsid w:val="008836F5"/>
    <w:rsid w:val="008B168B"/>
    <w:rsid w:val="008B5FCD"/>
    <w:rsid w:val="0092001A"/>
    <w:rsid w:val="0093005A"/>
    <w:rsid w:val="0094742A"/>
    <w:rsid w:val="00953ADE"/>
    <w:rsid w:val="00993FD0"/>
    <w:rsid w:val="00994C53"/>
    <w:rsid w:val="009D542A"/>
    <w:rsid w:val="009F563A"/>
    <w:rsid w:val="00A04C49"/>
    <w:rsid w:val="00A13343"/>
    <w:rsid w:val="00A43337"/>
    <w:rsid w:val="00A45B98"/>
    <w:rsid w:val="00A818A3"/>
    <w:rsid w:val="00AA29E4"/>
    <w:rsid w:val="00AF75E7"/>
    <w:rsid w:val="00B3767B"/>
    <w:rsid w:val="00B60CEF"/>
    <w:rsid w:val="00B62C9D"/>
    <w:rsid w:val="00B71692"/>
    <w:rsid w:val="00BA0260"/>
    <w:rsid w:val="00BA5DAC"/>
    <w:rsid w:val="00BB1BBC"/>
    <w:rsid w:val="00BB364B"/>
    <w:rsid w:val="00BB7E6A"/>
    <w:rsid w:val="00BC10F3"/>
    <w:rsid w:val="00C125AD"/>
    <w:rsid w:val="00C148ED"/>
    <w:rsid w:val="00C229E5"/>
    <w:rsid w:val="00C5265F"/>
    <w:rsid w:val="00C6425D"/>
    <w:rsid w:val="00C74AB5"/>
    <w:rsid w:val="00C76E7D"/>
    <w:rsid w:val="00C96C53"/>
    <w:rsid w:val="00CA36EE"/>
    <w:rsid w:val="00CC4250"/>
    <w:rsid w:val="00CC4ECA"/>
    <w:rsid w:val="00CC7350"/>
    <w:rsid w:val="00CD5E3E"/>
    <w:rsid w:val="00CD6310"/>
    <w:rsid w:val="00D144FD"/>
    <w:rsid w:val="00D30751"/>
    <w:rsid w:val="00D36003"/>
    <w:rsid w:val="00D43B02"/>
    <w:rsid w:val="00D74FAE"/>
    <w:rsid w:val="00DA4106"/>
    <w:rsid w:val="00DB32FA"/>
    <w:rsid w:val="00DD4309"/>
    <w:rsid w:val="00DD5563"/>
    <w:rsid w:val="00DD5BE7"/>
    <w:rsid w:val="00E41D9F"/>
    <w:rsid w:val="00E82AA2"/>
    <w:rsid w:val="00F209E2"/>
    <w:rsid w:val="00F65527"/>
    <w:rsid w:val="00F71344"/>
    <w:rsid w:val="00FB1FA0"/>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417FF6"/>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417FF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9" ma:contentTypeDescription="Crée un document." ma:contentTypeScope="" ma:versionID="acccb31da6e15bdad2c9a6f686cbcc58">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78ea9561d7e4f9c66fc00ecde8df96d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6FA13D-2DEB-4DF9-A93F-25B9CB21F438}"/>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2244</Words>
  <Characters>12342</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27</cp:revision>
  <cp:lastPrinted>2021-06-10T15:04:00Z</cp:lastPrinted>
  <dcterms:created xsi:type="dcterms:W3CDTF">2022-04-22T09:00:00Z</dcterms:created>
  <dcterms:modified xsi:type="dcterms:W3CDTF">2025-11-07T09:15:00Z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